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Times New Roman" w:hAnsi="Times New Roman" w:eastAsia="Times New Roman" w:cs="Times New Roman"/>
          <w:sz w:val="36"/>
          <w:szCs w:val="36"/>
          <w:highlight w:val="none"/>
        </w:rPr>
      </w:pPr>
      <w:r>
        <w:rPr>
          <w:rFonts w:ascii="Times New Roman" w:hAnsi="Times New Roman" w:eastAsia="Times New Roman" w:cs="Times New Roman"/>
          <w:sz w:val="36"/>
          <w:szCs w:val="36"/>
        </w:rPr>
        <w:t xml:space="preserve">Szigeti luxus-sokk</w:t>
      </w:r>
      <w:r>
        <w:rPr>
          <w:rFonts w:ascii="Times New Roman" w:hAnsi="Times New Roman" w:eastAsia="Times New Roman" w:cs="Times New Roman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sz w:val="36"/>
          <w:szCs w:val="36"/>
          <w:highlight w:val="none"/>
        </w:rPr>
      </w:r>
    </w:p>
    <w:p w14:paraId="2F9AFCAC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A Torcelloba vezető utunk első megállója az északi lagúnában található Murano szigete volt, ami összeszámolva 7 darab vízzel elválaszt</w:t>
      </w:r>
      <w:r>
        <w:rPr>
          <w:rFonts w:ascii="Times New Roman" w:hAnsi="Times New Roman" w:cs="Times New Roman"/>
          <w:sz w:val="24"/>
          <w:szCs w:val="24"/>
        </w:rPr>
        <w:t xml:space="preserve">ott szárazföldet foglal magában. Érkezésünk után a víz kékségétől távolodva egyből megpillantottunk egy üvegmanufaktúrát. A sziget belseje felé haladva azonban a turisták számára fenntartott kiállításon túl több  rendes, igazi és működő üzemet is láttunk. </w:t>
      </w:r>
      <w:r>
        <w:rPr>
          <w:rFonts w:ascii="Times New Roman" w:hAnsi="Times New Roman" w:cs="Times New Roman"/>
          <w:sz w:val="24"/>
          <w:szCs w:val="24"/>
        </w:rPr>
        <w:t xml:space="preserve">Megtudtuk, hogy a szigetnek fontos célja volt, h</w:t>
      </w:r>
      <w:r>
        <w:rPr>
          <w:rFonts w:ascii="Times New Roman" w:hAnsi="Times New Roman" w:cs="Times New Roman"/>
          <w:sz w:val="24"/>
          <w:szCs w:val="24"/>
        </w:rPr>
        <w:t xml:space="preserve">i</w:t>
      </w:r>
      <w:r>
        <w:rPr>
          <w:rFonts w:ascii="Times New Roman" w:hAnsi="Times New Roman" w:cs="Times New Roman"/>
          <w:sz w:val="24"/>
          <w:szCs w:val="24"/>
        </w:rPr>
        <w:t xml:space="preserve">szen „üveg nagyhatalomként” működött a középkorban. A Velencei Köztársaság idején az üvegfúvó mestereket rendeletben utasították, hogy a városközpontban lévő műhelyeiket telepítsék át a szigetre. Ebben a korban a házak főként fából épültek szóval egy 1000 </w:t>
      </w:r>
      <w:r>
        <w:rPr>
          <w:rFonts w:ascii="Times New Roman" w:hAnsi="Times New Roman" w:cs="Times New Roman"/>
          <w:strike w:val="0"/>
          <w:sz w:val="24"/>
          <w:szCs w:val="24"/>
        </w:rPr>
        <w:t xml:space="preserve">°C feletti parázslóan izzó kemencék társaságában jogos félelem volt a tűzveszély, amit igyekeztek elkerülni. Mindemellett pedig az állam a szigetet könnyebben tudta ellenőrizni és megvédeni a féltve őrzött titkos </w:t>
      </w:r>
      <w:r>
        <w:rPr>
          <w:rFonts w:ascii="Times New Roman" w:hAnsi="Times New Roman" w:cs="Times New Roman"/>
          <w:strike w:val="0"/>
          <w:sz w:val="24"/>
          <w:szCs w:val="24"/>
        </w:rPr>
        <w:t xml:space="preserve">üvegrecepteket, aminek döntő többségét még ma is használják. A mesterek mondhatni kiváltságosak voltak, ugyanis viselhettek saját kardot, társadalmi rangjuk megemelkedett és lányaik beházasodhattak a velencei nemesi családokba. Munkájukért cserébe viszont </w:t>
      </w:r>
      <w:r>
        <w:rPr>
          <w:rFonts w:ascii="Times New Roman" w:hAnsi="Times New Roman" w:cs="Times New Roman"/>
          <w:strike w:val="0"/>
          <w:sz w:val="24"/>
          <w:szCs w:val="24"/>
        </w:rPr>
        <w:t xml:space="preserve">meg is ölhették őket. Vagyis c</w:t>
      </w:r>
      <w:r>
        <w:rPr>
          <w:rFonts w:ascii="Times New Roman" w:hAnsi="Times New Roman" w:cs="Times New Roman"/>
          <w:strike w:val="0"/>
          <w:sz w:val="24"/>
          <w:szCs w:val="24"/>
        </w:rPr>
        <w:t xml:space="preserve">sak, ha a receptet eladták másoknak vagy ha külföldre költöztek. Az üveg titokzatossága, de főként értékessége miatt Magyarországon is, avagy akkoriban a Magyar Királyságban egyfajta luxuscikként és státuszszimbólumként is működött. Mátyás király idejében </w:t>
      </w:r>
      <w:r>
        <w:rPr>
          <w:rFonts w:ascii="Times New Roman" w:hAnsi="Times New Roman" w:cs="Times New Roman"/>
          <w:strike w:val="0"/>
          <w:sz w:val="24"/>
          <w:szCs w:val="24"/>
        </w:rPr>
        <w:t xml:space="preserve">is számos velencei pohár, kupa, kehely, üvegedény, illetve még sok más üvegtárgy került az udvarba. Felesége Beatrix királyné nápolyi származása miatt ezek a luxuscikkek berobbantak az országban, főként Budán és Visegrádon. A nagy üvegigényre tekintettel m</w:t>
      </w:r>
      <w:r>
        <w:rPr>
          <w:rFonts w:ascii="Times New Roman" w:hAnsi="Times New Roman" w:cs="Times New Roman"/>
          <w:strike w:val="0"/>
          <w:sz w:val="24"/>
          <w:szCs w:val="24"/>
        </w:rPr>
        <w:t xml:space="preserve">agyar üveg készítési törekvések is kezdődtek Felvidéken és Erdélyben, ahol még a közelében sem voltak a lemásolásához </w:t>
      </w:r>
      <w:r>
        <w:rPr>
          <w:rFonts w:ascii="Times New Roman" w:hAnsi="Times New Roman" w:cs="Times New Roman"/>
          <w:strike w:val="0"/>
          <w:sz w:val="24"/>
          <w:szCs w:val="24"/>
        </w:rPr>
        <w:t xml:space="preserve">a híres muranói üvegnek. Helyette viszont zöldes, vastagabb falú, úgynevezett erdőüveget elő tudtak állítani.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</w:p>
    <w:p w14:paraId="7F7CA656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</w:rPr>
      </w:pP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9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47862" cy="3366567"/>
                <wp:effectExtent l="0" t="0" r="0" b="0"/>
                <wp:wrapTopAndBottom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985790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2747862" cy="3366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9696;o:allowoverlap:true;o:allowincell:true;mso-position-horizontal-relative:text;margin-left:0.00pt;mso-position-horizontal:absolute;mso-position-vertical-relative:text;margin-top:0.00pt;mso-position-vertical:absolute;width:216.37pt;height:265.08pt;mso-wrap-distance-left:9.07pt;mso-wrap-distance-top:0.00pt;mso-wrap-distance-right:9.07pt;mso-wrap-distance-bottom:0.00pt;z-index:1;" stroked="false">
                <w10:wrap type="topAndBottom"/>
                <v:imagedata r:id="rId9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0720" behindDoc="0" locked="0" layoutInCell="1" allowOverlap="1">
                <wp:simplePos x="0" y="0"/>
                <wp:positionH relativeFrom="column">
                  <wp:posOffset>2837298</wp:posOffset>
                </wp:positionH>
                <wp:positionV relativeFrom="paragraph">
                  <wp:posOffset>639</wp:posOffset>
                </wp:positionV>
                <wp:extent cx="3288252" cy="3365927"/>
                <wp:effectExtent l="0" t="0" r="0" b="0"/>
                <wp:wrapTopAndBottom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62538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3288251" cy="33659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30720;o:allowoverlap:true;o:allowincell:true;mso-position-horizontal-relative:text;margin-left:223.41pt;mso-position-horizontal:absolute;mso-position-vertical-relative:text;margin-top:0.05pt;mso-position-vertical:absolute;width:258.92pt;height:265.03pt;mso-wrap-distance-left:9.07pt;mso-wrap-distance-top:0.00pt;mso-wrap-distance-right:9.07pt;mso-wrap-distance-bottom:0.00pt;z-index:1;" stroked="false">
                <w10:wrap type="topAndBottom"/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trike w:val="0"/>
          <w:sz w:val="24"/>
          <w:szCs w:val="24"/>
        </w:rPr>
      </w:r>
      <w:r>
        <w:rPr>
          <w:rFonts w:ascii="Times New Roman" w:hAnsi="Times New Roman" w:cs="Times New Roman"/>
          <w:strike w:val="0"/>
          <w:sz w:val="24"/>
          <w:szCs w:val="24"/>
        </w:rPr>
      </w:r>
    </w:p>
    <w:p w14:paraId="69649DDA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trike w:val="0"/>
          <w:sz w:val="24"/>
          <w:szCs w:val="24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Murano szigetét elhagyva Burano szigetére érkeztünk. A két sziget nagyon hasonló nem csak nevében, de a házak terén is. Színpompás jól elkülöníthető színű házakat pillantottunk meg, amiből nem volt ke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ttő ugyanolyan. Mikor még a sziget csak egy szegény halászfalucska volt, akkor a kora hajnalban vagy akár késő este hazatérő halászok a sűrű tengeri ködben már messziről ki tudták így szúrni 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melyik színű az ő házuk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 Ezzel megspórolták azt a kellemetlensége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t, hogy másik csatornába vagy akár egy idegen házába térjenek be. Egy tréfás helyi monda szerint pedig a kocsmából hazatérőket is ugyanúgy segítette a hazajutásban. A kulturális és turisztikai értéke miatt pedig, ha ma valaki újra szeretné festeni a házát 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nincsen könnyű dolga. Hiszen az önkormányzat 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megvizsgálja a ház történelmi színkódját, a 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szomszédos épületek árnyalatait és a lakók kapnak egy szűk színskála tartományt, amiből </w: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096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2289619</wp:posOffset>
                </wp:positionV>
                <wp:extent cx="3740990" cy="2094421"/>
                <wp:effectExtent l="0" t="0" r="0" b="0"/>
                <wp:wrapTopAndBottom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470233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3740988" cy="20944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4096;o:allowoverlap:true;o:allowincell:true;mso-position-horizontal-relative:text;margin-left:-3.75pt;mso-position-horizontal:absolute;mso-position-vertical-relative:text;margin-top:180.28pt;mso-position-vertical:absolute;width:294.57pt;height:164.92pt;mso-wrap-distance-left:9.07pt;mso-wrap-distance-top:0.00pt;mso-wrap-distance-right:9.07pt;mso-wrap-distance-bottom:0.00pt;rotation:0;z-index:1;" stroked="false">
                <w10:wrap type="topAndBottom"/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választhatnak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, ezzel is megtart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va azt, hog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y n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e legyen kettő egyforma színű ház.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</w:p>
    <w:p w14:paraId="4F70CAE6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" behindDoc="0" locked="0" layoutInCell="1" allowOverlap="1">
                <wp:simplePos x="0" y="0"/>
                <wp:positionH relativeFrom="column">
                  <wp:posOffset>2521919</wp:posOffset>
                </wp:positionH>
                <wp:positionV relativeFrom="paragraph">
                  <wp:posOffset>4300392</wp:posOffset>
                </wp:positionV>
                <wp:extent cx="3400091" cy="2035642"/>
                <wp:effectExtent l="0" t="0" r="0" b="0"/>
                <wp:wrapTopAndBottom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492837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3400090" cy="20356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5120;o:allowoverlap:true;o:allowincell:true;mso-position-horizontal-relative:text;margin-left:198.58pt;mso-position-horizontal:absolute;mso-position-vertical-relative:text;margin-top:338.61pt;mso-position-vertical:absolute;width:267.72pt;height:160.29pt;mso-wrap-distance-left:9.07pt;mso-wrap-distance-top:0.00pt;mso-wrap-distance-right:9.07pt;mso-wrap-distance-bottom:0.00pt;rotation:0;z-index:1;" stroked="false">
                <w10:wrap type="topAndBottom"/>
                <v:imagedata r:id="rId12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9152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2123221</wp:posOffset>
                </wp:positionV>
                <wp:extent cx="5731510" cy="2089993"/>
                <wp:effectExtent l="0" t="0" r="0" b="0"/>
                <wp:wrapTopAndBottom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293846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3"/>
                        <a:stretch/>
                      </pic:blipFill>
                      <pic:spPr bwMode="auto">
                        <a:xfrm rot="0" flipH="0" flipV="0">
                          <a:off x="0" y="0"/>
                          <a:ext cx="5731508" cy="20899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position:absolute;z-index:49152;o:allowoverlap:true;o:allowincell:true;mso-position-horizontal-relative:text;margin-left:5.25pt;mso-position-horizontal:absolute;mso-position-vertical-relative:text;margin-top:167.18pt;mso-position-vertical:absolute;width:451.30pt;height:164.57pt;mso-wrap-distance-left:9.07pt;mso-wrap-distance-top:0.00pt;mso-wrap-distance-right:9.07pt;mso-wrap-distance-bottom:0.00pt;rotation:0;z-index:1;" stroked="false">
                <w10:wrap type="topAndBottom"/>
                <v:imagedata r:id="rId13" o:title=""/>
                <o:lock v:ext="edit" rotation="t"/>
              </v:shape>
            </w:pict>
          </mc:Fallback>
        </mc:AlternateContent>
      </w:r>
      <w:r/>
    </w:p>
    <w:p w14:paraId="275C874E">
      <w:pPr>
        <w:pBdr/>
        <w:spacing/>
        <w:ind/>
        <w:rPr/>
      </w:pPr>
      <w:r/>
      <w:r/>
    </w:p>
    <w:p w14:paraId="744C6268">
      <w:pPr>
        <w:pBdr/>
        <w:spacing/>
        <w:ind/>
        <w:rPr/>
      </w:pPr>
      <w:r/>
      <w:r/>
    </w:p>
    <w:p w14:paraId="11E6762A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A sziget híres még a csipkekészítéséről, aminek egészen ősi múltja van. A torcellói, muranói és a Szent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 Márk bazilikában lévő Mária-ábrázolások bíbor palástjának szélén lévő háromszirom-mintás arany díszítések a legősibb és legmegbízhatóbb 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bizonyítékok a csipkekészítés létezésére.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</w:p>
    <w:p w14:paraId="7DF5674E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740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0</wp:posOffset>
                </wp:positionV>
                <wp:extent cx="3463585" cy="2030945"/>
                <wp:effectExtent l="0" t="0" r="0" b="0"/>
                <wp:wrapTopAndBottom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880385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3463584" cy="2030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position:absolute;z-index:17408;o:allowoverlap:true;o:allowincell:true;mso-position-horizontal-relative:text;margin-left:90.00pt;mso-position-horizontal:absolute;mso-position-vertical-relative:text;margin-top:0.00pt;mso-position-vertical:absolute;width:272.72pt;height:159.92pt;mso-wrap-distance-left:9.07pt;mso-wrap-distance-top:0.00pt;mso-wrap-distance-right:9.07pt;mso-wrap-distance-bottom:0.00pt;z-index:1;" stroked="false">
                <w10:wrap type="topAndBottom"/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</w:p>
    <w:p w14:paraId="3A8C2948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A 16. században viszont robbanásszerűen megnőtt az országok érdeklődése a csipke iránt, melynek következtében különféle technikák és stílusok is kifejlődtek. Az utána lévő században az érdeklődés nem csökkent, sőt 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az állam átszervezte a csipkekészítést, hogy minden nő részt vegyen benne. Ez főként elzárt közösségek női lakosaira vonatkozott, és ilyen volt Burano is. A 18. században már nem Vel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ence diktálta az irányt a csipkével, hanem a flamandok, franciák és belgák. Ekkor Velence imitálni próbálta az észak-európaiak technikáját és közben létrehozták a mára elhíresült buranói csipkeöltést. A sok évszázados felkapottságnak azonban véget vetet egyrés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zt egy földhöz ragadtabb stílus a britektől, másrészt a francia forradalom, ami után a csipke az arisztokrácia gyűlöletes szimbólumává vált. 1872-ben pedig megalapították a Csipkeiskolát, ami őrzi a régi korok tudását és hírnevet is szerzett a minőségéről.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</w:p>
    <w:p w14:paraId="73139A4E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38375" cy="5943600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879368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 rot="5400000">
                          <a:off x="0" y="0"/>
                          <a:ext cx="2238374" cy="594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176.25pt;height:468.00pt;mso-wrap-distance-left:0.00pt;mso-wrap-distance-top:0.00pt;mso-wrap-distance-right:0.00pt;mso-wrap-distance-bottom:0.00pt;rotation:90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</w:p>
    <w:p w14:paraId="36A414ED">
      <w:pPr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Ahogy Burano tanulmányozta az ész</w: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  <w:t xml:space="preserve">aki országok stílusát, úgy a magyarok a 20. század elején tanulmányozták a buranói technológiát. Ennek következtében megszületett a kiskunhalasi csipke alapja, avagy a halasi csipke. Ehhez persze a már megépült Csipkeiskola anyagait vették alapul. Erzsébet</w:t>
      </w:r>
      <w:r>
        <w:rPr>
          <w:rFonts w:ascii="Times New Roman" w:hAnsi="Times New Roman" w:cs="Times New Roman"/>
          <w:sz w:val="24"/>
          <w:szCs w:val="24"/>
        </w:rPr>
        <w:t xml:space="preserve"> királynő miatt kezdődött el a magyar csipke utáni érdeklődés, aki egymaga megteremtette a Sisi-st</w:t>
      </w:r>
      <w:r>
        <w:rPr>
          <w:rFonts w:ascii="Times New Roman" w:hAnsi="Times New Roman" w:cs="Times New Roman"/>
          <w:sz w:val="24"/>
          <w:szCs w:val="24"/>
        </w:rPr>
        <w:t xml:space="preserve">ílust. Ő az osztrák merev selymeken kívül előszeretettel hordott finom fátyol-kiegészítőket vagy csipkegallérokat. Mivel ő egyszerre volt magyar királyné és osztrák császárné, ezért mikor megjelent buranói csipkében akkor ő vált a divat akkori diktálójává.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63602DA5">
      <w:pPr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881930</wp:posOffset>
                </wp:positionH>
                <wp:positionV relativeFrom="paragraph">
                  <wp:posOffset>1283803</wp:posOffset>
                </wp:positionV>
                <wp:extent cx="3967650" cy="2509870"/>
                <wp:effectExtent l="0" t="0" r="0" b="0"/>
                <wp:wrapTopAndBottom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748632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flipH="0" flipV="0">
                          <a:off x="0" y="0"/>
                          <a:ext cx="3967650" cy="25098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position:absolute;z-index:2048;o:allowoverlap:true;o:allowincell:true;mso-position-horizontal-relative:text;margin-left:69.44pt;mso-position-horizontal:absolute;mso-position-vertical-relative:text;margin-top:101.09pt;mso-position-vertical:absolute;width:312.41pt;height:197.63pt;mso-wrap-distance-left:9.07pt;mso-wrap-distance-top:0.00pt;mso-wrap-distance-right:9.07pt;mso-wrap-distance-bottom:0.00pt;z-index:1;" stroked="false">
                <w10:wrap type="topAndBottom"/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A sziget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en a Szent Márton templomban pedig találhatunk még egy dolgot, ami formálta a kort. A művészi igényesség és a helyi közösség hite találkozik Giambattista Tiepolo Krisztus kálváriájának festményén. A kép különlegessége a drámai fény-árnyék játék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és az élénk színhasználata. A Magyar Királyságban a törökök pusztítását követően számos templomot építettek újjá, melyeknek ihletője Tiepolo volt. Ilyen templomok találhatóak például Győrben, Szombathelyen, Egerben és Veszprémben is.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127522E9">
      <w:pPr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42D74249">
      <w:pPr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Viszont ebben a templom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ban nem csak ez a festmény, ami számunkra érdekes lehet, hanem a szent is, akiről a nevét kapta. Szent Márton a háromszázas években Pannóniában, azaz a mai Magyarország területén, Savariában látta meg a napvilágot. Ahogyan apja, megtérése előtt ő is római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katonatisztként szolgált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 Feljegyzések szerint egy téli napon hazafelé menet egy koldussal találkozott, megszánta őt, köpenyét, a kardjával ketté hasította, és a felét rá terítette. Később az elajándékozott fél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köpenyben megjelent neki Jézus, ezt követően tért meg, és lépett ki a seregből. Ettől a naptól kezdve nem Rómát, hanem Istent szolgál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ta. Kárpát-medencei származása miatt már az államalapításkor a Magyar keresztény vallás egyik fontos szentjévé vált. A hagyomány szerint Szent István király is az ő közbenjárásáért imádkozott a Koppány elleni küzdelemben. A Márton-napi (november 11.) szoká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saink is az ő nevéhez kötődnek, mint például a Márton-napi lúd. A legenda szerint, mikor Mártont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megválasztották püspöknek, ő azt nem akarta elfogadni, és a ludak közé bújt el, de ők elárulták őt a gágogásukkal. De november 11-e gazdasági szempontból is egy fontos forduló nap Magyarországon, hiszen régen általában ekkor ért véget az őszi betakarítás.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6A5E7C7F">
      <w:pPr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Minden út Magyarországra vezet, ezt a luxuscikkek exportálása tökéletesen jól mutatja.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Muranót az üvegnagyhatalom történetét és művészetét megismerhettük. A még mindig hasonló nevű Burano pedig a csipkekészítés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mesterségén kalauzolt végig minket utunk során, illetve a festői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ihletésen, és egy régmúltú szent történetén.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Mátyás király udvarától a halasi csipkéig, Szent Mártontól a magyar barokkig újra és újra találunk olyan szálakat, amelyek összekötik a velencei lagúnát a saját történelmünkkel.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3024C17B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072" behindDoc="0" locked="0" layoutInCell="1" allowOverlap="1">
                <wp:simplePos x="0" y="0"/>
                <wp:positionH relativeFrom="column">
                  <wp:posOffset>-135287</wp:posOffset>
                </wp:positionH>
                <wp:positionV relativeFrom="paragraph">
                  <wp:posOffset>93058</wp:posOffset>
                </wp:positionV>
                <wp:extent cx="6002085" cy="3674814"/>
                <wp:effectExtent l="0" t="0" r="0" b="0"/>
                <wp:wrapTopAndBottom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394220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7"/>
                        <a:stretch/>
                      </pic:blipFill>
                      <pic:spPr bwMode="auto">
                        <a:xfrm flipH="0" flipV="0">
                          <a:off x="0" y="0"/>
                          <a:ext cx="6002084" cy="3674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position:absolute;z-index:3072;o:allowoverlap:true;o:allowincell:true;mso-position-horizontal-relative:text;margin-left:-10.65pt;mso-position-horizontal:absolute;mso-position-vertical-relative:text;margin-top:7.33pt;mso-position-vertical:absolute;width:472.61pt;height:289.36pt;mso-wrap-distance-left:9.07pt;mso-wrap-distance-top:0.00pt;mso-wrap-distance-right:9.07pt;mso-wrap-distance-bottom:0.00pt;z-index:1;" stroked="false">
                <w10:wrap type="topAndBottom"/>
                <v:imagedata r:id="rId17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</w:p>
    <w:p w14:paraId="3474F496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</w:p>
    <w:p w14:paraId="7D901CF3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</w:p>
    <w:p w14:paraId="4F406BDC">
      <w:pPr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500817C0">
      <w:pPr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5C35BA45">
      <w:pPr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390D2F69">
      <w:pPr>
        <w:pBdr/>
        <w:spacing/>
        <w:ind/>
        <w:rPr>
          <w:rFonts w:ascii="Times New Roman" w:hAnsi="Times New Roman" w:cs="Times New Roman"/>
          <w:strike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sz w:val="24"/>
          <w:szCs w:val="24"/>
          <w:highlight w:val="none"/>
        </w:rPr>
      </w:r>
    </w:p>
    <w:sectPr>
      <w:headerReference w:type="default" r:id="rId8"/>
      <w:footnotePr/>
      <w:endnotePr/>
      <w:type w:val="nextPage"/>
      <w:pgSz w:h="16838" w:orient="portrait" w:w="11906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8339F66">
    <w:pPr>
      <w:pStyle w:val="871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1">
    <w:name w:val="Table Grid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Table Grid Light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1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2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1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2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3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4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5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6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1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2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3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4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5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6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1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2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3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4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5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6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7">
    <w:name w:val="Heading 1"/>
    <w:basedOn w:val="896"/>
    <w:next w:val="896"/>
    <w:link w:val="84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8">
    <w:name w:val="Heading 2"/>
    <w:basedOn w:val="896"/>
    <w:next w:val="896"/>
    <w:link w:val="84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9">
    <w:name w:val="Heading 3"/>
    <w:basedOn w:val="896"/>
    <w:next w:val="896"/>
    <w:link w:val="84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0">
    <w:name w:val="Heading 4"/>
    <w:basedOn w:val="896"/>
    <w:next w:val="896"/>
    <w:link w:val="85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1">
    <w:name w:val="Heading 5"/>
    <w:basedOn w:val="896"/>
    <w:next w:val="896"/>
    <w:link w:val="85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2">
    <w:name w:val="Heading 6"/>
    <w:basedOn w:val="896"/>
    <w:next w:val="896"/>
    <w:link w:val="85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3">
    <w:name w:val="Heading 7"/>
    <w:basedOn w:val="896"/>
    <w:next w:val="896"/>
    <w:link w:val="85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4">
    <w:name w:val="Heading 8"/>
    <w:basedOn w:val="896"/>
    <w:next w:val="896"/>
    <w:link w:val="85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Heading 9"/>
    <w:basedOn w:val="896"/>
    <w:next w:val="896"/>
    <w:link w:val="85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6" w:default="1">
    <w:name w:val="Default Paragraph Font"/>
    <w:uiPriority w:val="1"/>
    <w:semiHidden/>
    <w:unhideWhenUsed/>
    <w:pPr>
      <w:pBdr/>
      <w:spacing/>
      <w:ind/>
    </w:pPr>
  </w:style>
  <w:style w:type="character" w:styleId="847">
    <w:name w:val="Heading 1 Char"/>
    <w:basedOn w:val="846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8">
    <w:name w:val="Heading 2 Char"/>
    <w:basedOn w:val="846"/>
    <w:link w:val="8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9">
    <w:name w:val="Heading 3 Char"/>
    <w:basedOn w:val="846"/>
    <w:link w:val="8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0">
    <w:name w:val="Heading 4 Char"/>
    <w:basedOn w:val="846"/>
    <w:link w:val="84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1">
    <w:name w:val="Heading 5 Char"/>
    <w:basedOn w:val="846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2">
    <w:name w:val="Heading 6 Char"/>
    <w:basedOn w:val="846"/>
    <w:link w:val="84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3">
    <w:name w:val="Heading 7 Char"/>
    <w:basedOn w:val="846"/>
    <w:link w:val="84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4">
    <w:name w:val="Heading 8 Char"/>
    <w:basedOn w:val="846"/>
    <w:link w:val="8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5">
    <w:name w:val="Heading 9 Char"/>
    <w:basedOn w:val="846"/>
    <w:link w:val="8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6">
    <w:name w:val="Title"/>
    <w:basedOn w:val="896"/>
    <w:next w:val="896"/>
    <w:link w:val="85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7">
    <w:name w:val="Title Char"/>
    <w:basedOn w:val="846"/>
    <w:link w:val="85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8">
    <w:name w:val="Subtitle"/>
    <w:basedOn w:val="896"/>
    <w:next w:val="896"/>
    <w:link w:val="85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9">
    <w:name w:val="Subtitle Char"/>
    <w:basedOn w:val="846"/>
    <w:link w:val="85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0">
    <w:name w:val="Quote"/>
    <w:basedOn w:val="896"/>
    <w:next w:val="896"/>
    <w:link w:val="86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1">
    <w:name w:val="Quote Char"/>
    <w:basedOn w:val="846"/>
    <w:link w:val="86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Intense Emphasis"/>
    <w:basedOn w:val="84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3">
    <w:name w:val="Intense Quote"/>
    <w:basedOn w:val="896"/>
    <w:next w:val="896"/>
    <w:link w:val="86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4">
    <w:name w:val="Intense Quote Char"/>
    <w:basedOn w:val="846"/>
    <w:link w:val="86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5">
    <w:name w:val="Intense Reference"/>
    <w:basedOn w:val="84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6">
    <w:name w:val="Subtle Emphasis"/>
    <w:basedOn w:val="84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7">
    <w:name w:val="Emphasis"/>
    <w:basedOn w:val="846"/>
    <w:uiPriority w:val="20"/>
    <w:qFormat/>
    <w:pPr>
      <w:pBdr/>
      <w:spacing/>
      <w:ind/>
    </w:pPr>
    <w:rPr>
      <w:i/>
      <w:iCs/>
    </w:rPr>
  </w:style>
  <w:style w:type="character" w:styleId="868">
    <w:name w:val="Strong"/>
    <w:basedOn w:val="846"/>
    <w:uiPriority w:val="22"/>
    <w:qFormat/>
    <w:pPr>
      <w:pBdr/>
      <w:spacing/>
      <w:ind/>
    </w:pPr>
    <w:rPr>
      <w:b/>
      <w:bCs/>
    </w:rPr>
  </w:style>
  <w:style w:type="character" w:styleId="869">
    <w:name w:val="Subtle Reference"/>
    <w:basedOn w:val="84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0">
    <w:name w:val="Book Title"/>
    <w:basedOn w:val="84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1">
    <w:name w:val="Header"/>
    <w:basedOn w:val="896"/>
    <w:link w:val="87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2">
    <w:name w:val="Header Char"/>
    <w:basedOn w:val="846"/>
    <w:link w:val="871"/>
    <w:uiPriority w:val="99"/>
    <w:pPr>
      <w:pBdr/>
      <w:spacing/>
      <w:ind/>
    </w:pPr>
  </w:style>
  <w:style w:type="paragraph" w:styleId="873">
    <w:name w:val="Footer"/>
    <w:basedOn w:val="896"/>
    <w:link w:val="87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4">
    <w:name w:val="Footer Char"/>
    <w:basedOn w:val="846"/>
    <w:link w:val="873"/>
    <w:uiPriority w:val="99"/>
    <w:pPr>
      <w:pBdr/>
      <w:spacing/>
      <w:ind/>
    </w:pPr>
  </w:style>
  <w:style w:type="paragraph" w:styleId="875">
    <w:name w:val="Caption"/>
    <w:basedOn w:val="896"/>
    <w:next w:val="89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6">
    <w:name w:val="footnote text"/>
    <w:basedOn w:val="896"/>
    <w:link w:val="8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7">
    <w:name w:val="Footnote Text Char"/>
    <w:basedOn w:val="846"/>
    <w:link w:val="876"/>
    <w:uiPriority w:val="99"/>
    <w:semiHidden/>
    <w:pPr>
      <w:pBdr/>
      <w:spacing/>
      <w:ind/>
    </w:pPr>
    <w:rPr>
      <w:sz w:val="20"/>
      <w:szCs w:val="20"/>
    </w:rPr>
  </w:style>
  <w:style w:type="character" w:styleId="878">
    <w:name w:val="footnote reference"/>
    <w:basedOn w:val="846"/>
    <w:uiPriority w:val="99"/>
    <w:semiHidden/>
    <w:unhideWhenUsed/>
    <w:pPr>
      <w:pBdr/>
      <w:spacing/>
      <w:ind/>
    </w:pPr>
    <w:rPr>
      <w:vertAlign w:val="superscript"/>
    </w:rPr>
  </w:style>
  <w:style w:type="paragraph" w:styleId="879">
    <w:name w:val="endnote text"/>
    <w:basedOn w:val="896"/>
    <w:link w:val="88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0">
    <w:name w:val="Endnote Text Char"/>
    <w:basedOn w:val="846"/>
    <w:link w:val="879"/>
    <w:uiPriority w:val="99"/>
    <w:semiHidden/>
    <w:pPr>
      <w:pBdr/>
      <w:spacing/>
      <w:ind/>
    </w:pPr>
    <w:rPr>
      <w:sz w:val="20"/>
      <w:szCs w:val="20"/>
    </w:rPr>
  </w:style>
  <w:style w:type="character" w:styleId="881">
    <w:name w:val="endnote reference"/>
    <w:basedOn w:val="846"/>
    <w:uiPriority w:val="99"/>
    <w:semiHidden/>
    <w:unhideWhenUsed/>
    <w:pPr>
      <w:pBdr/>
      <w:spacing/>
      <w:ind/>
    </w:pPr>
    <w:rPr>
      <w:vertAlign w:val="superscript"/>
    </w:rPr>
  </w:style>
  <w:style w:type="character" w:styleId="882">
    <w:name w:val="Hyperlink"/>
    <w:basedOn w:val="84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3">
    <w:name w:val="FollowedHyperlink"/>
    <w:basedOn w:val="84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4">
    <w:name w:val="toc 1"/>
    <w:basedOn w:val="896"/>
    <w:next w:val="896"/>
    <w:uiPriority w:val="39"/>
    <w:unhideWhenUsed/>
    <w:pPr>
      <w:pBdr/>
      <w:spacing w:after="100"/>
      <w:ind/>
    </w:pPr>
  </w:style>
  <w:style w:type="paragraph" w:styleId="885">
    <w:name w:val="toc 2"/>
    <w:basedOn w:val="896"/>
    <w:next w:val="896"/>
    <w:uiPriority w:val="39"/>
    <w:unhideWhenUsed/>
    <w:pPr>
      <w:pBdr/>
      <w:spacing w:after="100"/>
      <w:ind w:left="220"/>
    </w:pPr>
  </w:style>
  <w:style w:type="paragraph" w:styleId="886">
    <w:name w:val="toc 3"/>
    <w:basedOn w:val="896"/>
    <w:next w:val="896"/>
    <w:uiPriority w:val="39"/>
    <w:unhideWhenUsed/>
    <w:pPr>
      <w:pBdr/>
      <w:spacing w:after="100"/>
      <w:ind w:left="440"/>
    </w:pPr>
  </w:style>
  <w:style w:type="paragraph" w:styleId="887">
    <w:name w:val="toc 4"/>
    <w:basedOn w:val="896"/>
    <w:next w:val="896"/>
    <w:uiPriority w:val="39"/>
    <w:unhideWhenUsed/>
    <w:pPr>
      <w:pBdr/>
      <w:spacing w:after="100"/>
      <w:ind w:left="660"/>
    </w:pPr>
  </w:style>
  <w:style w:type="paragraph" w:styleId="888">
    <w:name w:val="toc 5"/>
    <w:basedOn w:val="896"/>
    <w:next w:val="896"/>
    <w:uiPriority w:val="39"/>
    <w:unhideWhenUsed/>
    <w:pPr>
      <w:pBdr/>
      <w:spacing w:after="100"/>
      <w:ind w:left="880"/>
    </w:pPr>
  </w:style>
  <w:style w:type="paragraph" w:styleId="889">
    <w:name w:val="toc 6"/>
    <w:basedOn w:val="896"/>
    <w:next w:val="896"/>
    <w:uiPriority w:val="39"/>
    <w:unhideWhenUsed/>
    <w:pPr>
      <w:pBdr/>
      <w:spacing w:after="100"/>
      <w:ind w:left="1100"/>
    </w:pPr>
  </w:style>
  <w:style w:type="paragraph" w:styleId="890">
    <w:name w:val="toc 7"/>
    <w:basedOn w:val="896"/>
    <w:next w:val="896"/>
    <w:uiPriority w:val="39"/>
    <w:unhideWhenUsed/>
    <w:pPr>
      <w:pBdr/>
      <w:spacing w:after="100"/>
      <w:ind w:left="1320"/>
    </w:pPr>
  </w:style>
  <w:style w:type="paragraph" w:styleId="891">
    <w:name w:val="toc 8"/>
    <w:basedOn w:val="896"/>
    <w:next w:val="896"/>
    <w:uiPriority w:val="39"/>
    <w:unhideWhenUsed/>
    <w:pPr>
      <w:pBdr/>
      <w:spacing w:after="100"/>
      <w:ind w:left="1540"/>
    </w:pPr>
  </w:style>
  <w:style w:type="paragraph" w:styleId="892">
    <w:name w:val="toc 9"/>
    <w:basedOn w:val="896"/>
    <w:next w:val="896"/>
    <w:uiPriority w:val="39"/>
    <w:unhideWhenUsed/>
    <w:pPr>
      <w:pBdr/>
      <w:spacing w:after="100"/>
      <w:ind w:left="1760"/>
    </w:pPr>
  </w:style>
  <w:style w:type="character" w:styleId="893">
    <w:name w:val="Placeholder Text"/>
    <w:basedOn w:val="846"/>
    <w:uiPriority w:val="99"/>
    <w:semiHidden/>
    <w:pPr>
      <w:pBdr/>
      <w:spacing/>
      <w:ind/>
    </w:pPr>
    <w:rPr>
      <w:color w:val="666666"/>
    </w:rPr>
  </w:style>
  <w:style w:type="paragraph" w:styleId="894">
    <w:name w:val="TOC Heading"/>
    <w:uiPriority w:val="39"/>
    <w:unhideWhenUsed/>
    <w:pPr>
      <w:pBdr/>
      <w:spacing/>
      <w:ind/>
    </w:pPr>
  </w:style>
  <w:style w:type="paragraph" w:styleId="895">
    <w:name w:val="table of figures"/>
    <w:basedOn w:val="896"/>
    <w:next w:val="896"/>
    <w:uiPriority w:val="99"/>
    <w:unhideWhenUsed/>
    <w:pPr>
      <w:pBdr/>
      <w:spacing w:after="0" w:afterAutospacing="0"/>
      <w:ind/>
    </w:pPr>
  </w:style>
  <w:style w:type="paragraph" w:styleId="896" w:default="1">
    <w:name w:val="Normal"/>
    <w:qFormat/>
    <w:pPr>
      <w:pBdr/>
      <w:spacing/>
      <w:ind/>
    </w:pPr>
  </w:style>
  <w:style w:type="table" w:styleId="89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8" w:default="1">
    <w:name w:val="No List"/>
    <w:uiPriority w:val="99"/>
    <w:semiHidden/>
    <w:unhideWhenUsed/>
    <w:pPr>
      <w:pBdr/>
      <w:spacing/>
      <w:ind/>
    </w:pPr>
  </w:style>
  <w:style w:type="paragraph" w:styleId="899">
    <w:name w:val="No Spacing"/>
    <w:basedOn w:val="896"/>
    <w:uiPriority w:val="1"/>
    <w:qFormat/>
    <w:pPr>
      <w:pBdr/>
      <w:spacing w:after="0" w:line="240" w:lineRule="auto"/>
      <w:ind/>
    </w:pPr>
  </w:style>
  <w:style w:type="paragraph" w:styleId="900">
    <w:name w:val="List Paragraph"/>
    <w:basedOn w:val="89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</cp:revision>
  <dcterms:modified xsi:type="dcterms:W3CDTF">2026-09-14T12:30:56Z</dcterms:modified>
</cp:coreProperties>
</file>